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41.73228346456688" w:firstLine="0"/>
        <w:jc w:val="left"/>
        <w:rPr>
          <w:b w:val="1"/>
          <w:bCs w:val="1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50.0" w:type="dxa"/>
        <w:jc w:val="left"/>
        <w:tblLayout w:type="fixed"/>
        <w:tblLook w:val="0600"/>
      </w:tblPr>
      <w:tblGrid>
        <w:gridCol w:w="1725"/>
        <w:gridCol w:w="2985"/>
        <w:gridCol w:w="660"/>
        <w:gridCol w:w="1005"/>
        <w:gridCol w:w="7575"/>
        <w:tblGridChange w:id="0">
          <w:tblGrid>
            <w:gridCol w:w="1725"/>
            <w:gridCol w:w="2985"/>
            <w:gridCol w:w="660"/>
            <w:gridCol w:w="1005"/>
            <w:gridCol w:w="7575"/>
          </w:tblGrid>
        </w:tblGridChange>
      </w:tblGrid>
      <w:tr>
        <w:trPr>
          <w:cantSplit w:val="0"/>
          <w:trHeight w:val="568.4326171874998" w:hRule="atLeast"/>
          <w:tblHeader w:val="0"/>
        </w:trPr>
        <w:tc>
          <w:tcPr>
            <w:gridSpan w:val="5"/>
            <w:tcBorders>
              <w:top w:color="274e13" w:space="0" w:sz="5" w:val="single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6fa8d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ind w:left="-141.73228346456688" w:firstLine="0"/>
              <w:jc w:val="center"/>
              <w:rPr>
                <w:b w:val="1"/>
                <w:bCs w:val="1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8"/>
                <w:szCs w:val="28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3">
            <w:pPr>
              <w:spacing w:after="200" w:lineRule="auto"/>
              <w:ind w:left="-141.73228346456688" w:firstLine="0"/>
              <w:jc w:val="center"/>
              <w:rPr>
                <w:i w:val="1"/>
                <w:iCs w:val="1"/>
                <w:sz w:val="26"/>
                <w:szCs w:val="26"/>
                <w:shd w:fill="b7b7b7" w:val="clear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32"/>
                <w:szCs w:val="32"/>
                <w:rtl w:val="0"/>
              </w:rPr>
              <w:t xml:space="preserve">C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32"/>
                <w:szCs w:val="32"/>
                <w:rtl w:val="0"/>
              </w:rPr>
              <w:t xml:space="preserve">URRICOLO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32"/>
                <w:szCs w:val="32"/>
                <w:rtl w:val="0"/>
              </w:rPr>
              <w:t xml:space="preserve">RELIGIONE CATTOLICA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gridSpan w:val="5"/>
            <w:tcBorders>
              <w:top w:color="274e13" w:space="0" w:sz="5" w:val="single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9fc5e8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ind w:right="-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Competenza chiave: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competenze sociali e civiche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gridSpan w:val="3"/>
            <w:tcBorders>
              <w:top w:color="000000" w:space="0" w:sz="0" w:val="nil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Disciplina fondante: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Religione Cattolica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Discipline concorrenti: tutte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Nucleo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Traguardo di competenza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Classi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Obiettivi di apprendimento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fff2cc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b w:val="1"/>
                <w:bCs w:val="1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b w:val="1"/>
                <w:bCs w:val="1"/>
                <w:color w:val="38761d"/>
              </w:rPr>
            </w:pPr>
            <w:r w:rsidDel="00000000" w:rsidR="00000000" w:rsidRPr="00000000">
              <w:rPr>
                <w:b w:val="1"/>
                <w:bCs w:val="1"/>
                <w:color w:val="38761d"/>
                <w:rtl w:val="0"/>
              </w:rPr>
              <w:t xml:space="preserve">Campo d’esperienza: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b w:val="1"/>
                <w:bCs w:val="1"/>
                <w:color w:val="38761d"/>
              </w:rPr>
            </w:pPr>
            <w:r w:rsidDel="00000000" w:rsidR="00000000" w:rsidRPr="00000000">
              <w:rPr>
                <w:b w:val="1"/>
                <w:bCs w:val="1"/>
                <w:color w:val="38761d"/>
                <w:rtl w:val="0"/>
              </w:rPr>
              <w:t xml:space="preserve">I discorsi e le parole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b w:val="1"/>
                <w:bCs w:val="1"/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b w:val="1"/>
                <w:bCs w:val="1"/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b w:val="1"/>
                <w:bCs w:val="1"/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Identità, Relazione e Convivenza civile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b w:val="1"/>
                <w:bCs w:val="1"/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b w:val="1"/>
                <w:bCs w:val="1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b w:val="1"/>
                <w:bCs w:val="1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L’alunno partecipa in modo positivo e costruttivo alla vita sociale, interagendo con gli altri e risolvendo conflitti. Riconosce l'altro e accoglie le diversità come ricchezza.</w:t>
            </w:r>
          </w:p>
          <w:p w:rsidR="00000000" w:rsidDel="00000000" w:rsidP="00000000" w:rsidRDefault="00000000" w:rsidRPr="00000000" w14:paraId="00000026">
            <w:pPr>
              <w:widowControl w:val="0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0" w:before="20" w:line="240" w:lineRule="auto"/>
              <w:jc w:val="center"/>
              <w:rPr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20" w:before="20" w:line="240" w:lineRule="auto"/>
              <w:jc w:val="center"/>
              <w:rPr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29">
            <w:pPr>
              <w:spacing w:after="20" w:before="20" w:line="240" w:lineRule="auto"/>
              <w:jc w:val="center"/>
              <w:rPr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2A">
            <w:pPr>
              <w:spacing w:after="20" w:before="20" w:line="240" w:lineRule="auto"/>
              <w:jc w:val="center"/>
              <w:rPr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F</w:t>
            </w:r>
          </w:p>
          <w:p w:rsidR="00000000" w:rsidDel="00000000" w:rsidP="00000000" w:rsidRDefault="00000000" w:rsidRPr="00000000" w14:paraId="0000002B">
            <w:pPr>
              <w:spacing w:after="20" w:before="20" w:line="240" w:lineRule="auto"/>
              <w:jc w:val="center"/>
              <w:rPr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2C">
            <w:pPr>
              <w:spacing w:after="20" w:before="20" w:line="240" w:lineRule="auto"/>
              <w:jc w:val="center"/>
              <w:rPr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2D">
            <w:pPr>
              <w:spacing w:after="20" w:before="20" w:line="240" w:lineRule="auto"/>
              <w:jc w:val="center"/>
              <w:rPr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Z</w:t>
            </w:r>
          </w:p>
          <w:p w:rsidR="00000000" w:rsidDel="00000000" w:rsidP="00000000" w:rsidRDefault="00000000" w:rsidRPr="00000000" w14:paraId="0000002E">
            <w:pPr>
              <w:spacing w:after="20" w:before="20" w:line="240" w:lineRule="auto"/>
              <w:jc w:val="center"/>
              <w:rPr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2F">
            <w:pPr>
              <w:spacing w:after="20" w:before="2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 anni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="276" w:lineRule="auto"/>
              <w:rPr/>
            </w:pPr>
            <w:r w:rsidDel="00000000" w:rsidR="00000000" w:rsidRPr="00000000">
              <w:rPr>
                <w:color w:val="1f1f1f"/>
                <w:rtl w:val="0"/>
              </w:rPr>
              <w:t xml:space="preserve">Scoprire la gioia di stare insieme; comunicare emozioni con il corpo; intuire Dio come Padre.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fff2cc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 anni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="276" w:lineRule="auto"/>
              <w:rPr/>
            </w:pPr>
            <w:r w:rsidDel="00000000" w:rsidR="00000000" w:rsidRPr="00000000">
              <w:rPr>
                <w:color w:val="1f1f1f"/>
                <w:rtl w:val="0"/>
              </w:rPr>
              <w:t xml:space="preserve">Riconoscere gesti di pace e aiuto; esprimere bisogni con il corpo; riconoscere Gesù come Figlio di Dio.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fff2cc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 anni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="276" w:lineRule="auto"/>
              <w:rPr/>
            </w:pPr>
            <w:r w:rsidDel="00000000" w:rsidR="00000000" w:rsidRPr="00000000">
              <w:rPr>
                <w:color w:val="1f1f1f"/>
                <w:rtl w:val="0"/>
              </w:rPr>
              <w:t xml:space="preserve">Compiere gesti di accoglienza verso il mondo e gli altri; conoscere il corpo come dono; collegare i segni delle feste cristiane al loro significato.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fff2cc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d9d9d9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040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41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42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M</w:t>
            </w:r>
          </w:p>
          <w:p w:rsidR="00000000" w:rsidDel="00000000" w:rsidP="00000000" w:rsidRDefault="00000000" w:rsidRPr="00000000" w14:paraId="00000043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44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45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46">
            <w:pPr>
              <w:spacing w:after="20" w:before="2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Rule="auto"/>
              <w:rPr/>
            </w:pPr>
            <w:r w:rsidDel="00000000" w:rsidR="00000000" w:rsidRPr="00000000">
              <w:rPr>
                <w:color w:val="1f1f1f"/>
                <w:rtl w:val="0"/>
              </w:rPr>
              <w:t xml:space="preserve">Riconoscere la scuola come luogo di amicizia; identificare i segni del Natale e della Pasqua nell'ambiente; riconoscere i valori dell'accoglienza predicati da Gesù.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1.850585937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II </w:t>
            </w: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III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Rule="auto"/>
              <w:rPr/>
            </w:pPr>
            <w:r w:rsidDel="00000000" w:rsidR="00000000" w:rsidRPr="00000000">
              <w:rPr>
                <w:color w:val="1f1f1f"/>
                <w:rtl w:val="0"/>
              </w:rPr>
              <w:t xml:space="preserve">Maturare gratitudine per il creato (S. Francesco); comprendere gesti liturgici e origini del presepe; riflettere sulle origini del mondo (scienza/fede) e sui 10 comandamenti per la vita sociale</w:t>
            </w:r>
            <w:r w:rsidDel="00000000" w:rsidR="00000000" w:rsidRPr="00000000">
              <w:rPr>
                <w:color w:val="444746"/>
                <w:vertAlign w:val="superscript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IV </w:t>
            </w: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75.9999942779541" w:lineRule="auto"/>
              <w:rPr/>
            </w:pPr>
            <w:r w:rsidDel="00000000" w:rsidR="00000000" w:rsidRPr="00000000">
              <w:rPr>
                <w:color w:val="1f1f1f"/>
                <w:rtl w:val="0"/>
              </w:rPr>
              <w:t xml:space="preserve">Identificare il senso religioso nelle narrazioni evangeliche per scelte responsabili; conoscere le origini della Chiesa e il Credo; confrontarsi con le grandi religioni mondiali per favorire il dialogo e il rispetto.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6.850585937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cccccc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056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57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C</w:t>
            </w:r>
          </w:p>
          <w:p w:rsidR="00000000" w:rsidDel="00000000" w:rsidP="00000000" w:rsidRDefault="00000000" w:rsidRPr="00000000" w14:paraId="00000058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059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5A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05B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5C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5D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5E">
            <w:pPr>
              <w:spacing w:after="20" w:before="2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I </w:t>
            </w: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II</w:t>
            </w:r>
          </w:p>
          <w:p w:rsidR="00000000" w:rsidDel="00000000" w:rsidP="00000000" w:rsidRDefault="00000000" w:rsidRPr="00000000" w14:paraId="00000060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40" w:before="240" w:lineRule="auto"/>
              <w:rPr/>
            </w:pPr>
            <w:r w:rsidDel="00000000" w:rsidR="00000000" w:rsidRPr="00000000">
              <w:rPr>
                <w:color w:val="1f1f1f"/>
                <w:rtl w:val="0"/>
              </w:rPr>
              <w:t xml:space="preserve">Cogliere le tracce della ricerca religiosa e il bisogno di trascendenza; correlare Gesù alla fede cristiana e alla Chiesa; comprendere simboli religiosi, sacramenti e la missione della Chiesa nel mondo.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7.9150390625002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III</w:t>
            </w:r>
          </w:p>
          <w:p w:rsidR="00000000" w:rsidDel="00000000" w:rsidP="00000000" w:rsidRDefault="00000000" w:rsidRPr="00000000" w14:paraId="00000066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Riflettere su un progetto di vita libero e responsabile; esporre le motivazioni etiche cristiane (vita, affettività); confrontare fede e scienza come letture distinte ma non conflittuali.</w:t>
            </w:r>
          </w:p>
          <w:p w:rsidR="00000000" w:rsidDel="00000000" w:rsidP="00000000" w:rsidRDefault="00000000" w:rsidRPr="00000000" w14:paraId="0000006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ind w:left="-141.7322834645668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-141.7322834645668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-141.7322834645668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-141.7322834645668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-141.7322834645668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-141.73228346456688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39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85"/>
        <w:gridCol w:w="2925"/>
        <w:gridCol w:w="660"/>
        <w:gridCol w:w="1005"/>
        <w:gridCol w:w="7575"/>
        <w:tblGridChange w:id="0">
          <w:tblGrid>
            <w:gridCol w:w="1785"/>
            <w:gridCol w:w="2925"/>
            <w:gridCol w:w="660"/>
            <w:gridCol w:w="1005"/>
            <w:gridCol w:w="7575"/>
          </w:tblGrid>
        </w:tblGridChange>
      </w:tblGrid>
      <w:tr>
        <w:trPr>
          <w:cantSplit w:val="0"/>
          <w:trHeight w:val="840" w:hRule="atLeast"/>
          <w:tblHeader w:val="0"/>
        </w:trPr>
        <w:tc>
          <w:tcPr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9fc5e8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240" w:before="240" w:lineRule="auto"/>
              <w:ind w:right="-6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 Competenza chiave: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Consapevolezza ed Espressione Culturale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0" w:val="nil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40" w:before="24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Nucleo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240" w:before="24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Traguardo di competenza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240" w:before="24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Classi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240" w:before="24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Obiettivi di apprendimento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fff2cc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b w:val="1"/>
                <w:bCs w:val="1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b w:val="1"/>
                <w:bCs w:val="1"/>
                <w:color w:val="38761d"/>
              </w:rPr>
            </w:pPr>
            <w:r w:rsidDel="00000000" w:rsidR="00000000" w:rsidRPr="00000000">
              <w:rPr>
                <w:b w:val="1"/>
                <w:bCs w:val="1"/>
                <w:color w:val="38761d"/>
                <w:rtl w:val="0"/>
              </w:rPr>
              <w:t xml:space="preserve">Campo d’esperienza: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b w:val="1"/>
                <w:bCs w:val="1"/>
                <w:color w:val="38761d"/>
              </w:rPr>
            </w:pPr>
            <w:r w:rsidDel="00000000" w:rsidR="00000000" w:rsidRPr="00000000">
              <w:rPr>
                <w:b w:val="1"/>
                <w:bCs w:val="1"/>
                <w:color w:val="38761d"/>
                <w:rtl w:val="0"/>
              </w:rPr>
              <w:t xml:space="preserve">I discorsi e le parole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b w:val="1"/>
                <w:bCs w:val="1"/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b w:val="1"/>
                <w:bCs w:val="1"/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b w:val="1"/>
                <w:bCs w:val="1"/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after="120" w:before="120" w:line="275.9999942779541" w:lineRule="auto"/>
              <w:rPr>
                <w:b w:val="1"/>
                <w:bCs w:val="1"/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Fonti, Linguaggi e Arte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b w:val="1"/>
                <w:bCs w:val="1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b w:val="1"/>
                <w:bCs w:val="1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275.9999942779541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75.9999942779541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75.9999942779541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75.9999942779541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line="275.9999942779541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275.9999942779541" w:lineRule="auto"/>
              <w:rPr/>
            </w:pPr>
            <w:r w:rsidDel="00000000" w:rsidR="00000000" w:rsidRPr="00000000">
              <w:rPr>
                <w:color w:val="1f1f1f"/>
                <w:rtl w:val="0"/>
              </w:rPr>
              <w:t xml:space="preserve">Conosce il testo sacro cristiano, sa confrontarlo con le principali religioni e utilizza Bibbia e arte come espressione culturale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20" w:before="20" w:line="240" w:lineRule="auto"/>
              <w:jc w:val="center"/>
              <w:rPr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20" w:before="20" w:line="240" w:lineRule="auto"/>
              <w:jc w:val="center"/>
              <w:rPr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8C">
            <w:pPr>
              <w:spacing w:after="20" w:before="20" w:line="240" w:lineRule="auto"/>
              <w:jc w:val="center"/>
              <w:rPr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8D">
            <w:pPr>
              <w:spacing w:after="20" w:before="20" w:line="240" w:lineRule="auto"/>
              <w:jc w:val="center"/>
              <w:rPr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F</w:t>
            </w:r>
          </w:p>
          <w:p w:rsidR="00000000" w:rsidDel="00000000" w:rsidP="00000000" w:rsidRDefault="00000000" w:rsidRPr="00000000" w14:paraId="0000008E">
            <w:pPr>
              <w:spacing w:after="20" w:before="20" w:line="240" w:lineRule="auto"/>
              <w:jc w:val="center"/>
              <w:rPr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8F">
            <w:pPr>
              <w:spacing w:after="20" w:before="20" w:line="240" w:lineRule="auto"/>
              <w:jc w:val="center"/>
              <w:rPr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90">
            <w:pPr>
              <w:spacing w:after="20" w:before="20" w:line="240" w:lineRule="auto"/>
              <w:jc w:val="center"/>
              <w:rPr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Z</w:t>
            </w:r>
          </w:p>
          <w:p w:rsidR="00000000" w:rsidDel="00000000" w:rsidP="00000000" w:rsidRDefault="00000000" w:rsidRPr="00000000" w14:paraId="00000091">
            <w:pPr>
              <w:spacing w:after="20" w:before="20" w:line="240" w:lineRule="auto"/>
              <w:jc w:val="center"/>
              <w:rPr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92">
            <w:pPr>
              <w:spacing w:after="20" w:before="2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 anni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75.9999942779541" w:lineRule="auto"/>
              <w:rPr/>
            </w:pPr>
            <w:r w:rsidDel="00000000" w:rsidR="00000000" w:rsidRPr="00000000">
              <w:rPr>
                <w:color w:val="1f1f1f"/>
                <w:rtl w:val="0"/>
              </w:rPr>
              <w:t xml:space="preserve">Scoprire che Gesù parla di amicizia attraverso semplici racconti biblici; usare la voce per esprimere emozioni.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fff2cc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240" w:before="24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20" w:before="2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 anni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75.9999942779541" w:lineRule="auto"/>
              <w:rPr/>
            </w:pPr>
            <w:r w:rsidDel="00000000" w:rsidR="00000000" w:rsidRPr="00000000">
              <w:rPr>
                <w:color w:val="1f1f1f"/>
                <w:rtl w:val="0"/>
              </w:rPr>
              <w:t xml:space="preserve">Ascoltare e comprendere semplici racconti evangelici; narrare contenuti biblici con termini appresi.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fff2cc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 anni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75.9999942779541" w:lineRule="auto"/>
              <w:rPr/>
            </w:pPr>
            <w:r w:rsidDel="00000000" w:rsidR="00000000" w:rsidRPr="00000000">
              <w:rPr>
                <w:color w:val="1f1f1f"/>
                <w:rtl w:val="0"/>
              </w:rPr>
              <w:t xml:space="preserve">Conoscere attraverso il Vangelo le scelte di vita di Gesù e il suo messaggio di amore; comunicare in modo significativo in ambito religioso.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2cc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d9d9d9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0A3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A4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A5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M</w:t>
            </w:r>
          </w:p>
          <w:p w:rsidR="00000000" w:rsidDel="00000000" w:rsidP="00000000" w:rsidRDefault="00000000" w:rsidRPr="00000000" w14:paraId="000000A6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A7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A8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A9">
            <w:pPr>
              <w:spacing w:after="20" w:before="2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75.9999942779541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Ricostruire aspetti della vita di Gesù vicini all'esperienza personale; confrontare la vita al tempo di Gesù con la propria.</w:t>
            </w:r>
          </w:p>
          <w:p w:rsidR="00000000" w:rsidDel="00000000" w:rsidP="00000000" w:rsidRDefault="00000000" w:rsidRPr="00000000" w14:paraId="000000AC">
            <w:pPr>
              <w:widowControl w:val="0"/>
              <w:spacing w:line="275.9999942779541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spacing w:line="275.9999942779541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Collocare la chiesa come edificio particolare all’interno del paese elencandone gli elementi caratterizzanti.</w:t>
            </w:r>
          </w:p>
        </w:tc>
      </w:tr>
      <w:tr>
        <w:trPr>
          <w:cantSplit w:val="0"/>
          <w:trHeight w:val="926.850585937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20" w:before="2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II </w:t>
            </w: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III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75.9999942779541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Riconoscere</w:t>
            </w:r>
            <w:r w:rsidDel="00000000" w:rsidR="00000000" w:rsidRPr="00000000">
              <w:rPr>
                <w:color w:val="1f1f1f"/>
                <w:rtl w:val="0"/>
              </w:rPr>
              <w:t xml:space="preserve"> i contenuti essenziali dell’insegnamento di Gesù: parabole, miracoli e il Padre Nostro con particolare riferimento a quest’ultima come preghiera di dialogo.</w:t>
            </w:r>
          </w:p>
          <w:p w:rsidR="00000000" w:rsidDel="00000000" w:rsidP="00000000" w:rsidRDefault="00000000" w:rsidRPr="00000000" w14:paraId="000000B3">
            <w:pPr>
              <w:widowControl w:val="0"/>
              <w:spacing w:line="275.9999942779541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spacing w:line="275.9999942779541" w:lineRule="auto"/>
              <w:rPr/>
            </w:pPr>
            <w:r w:rsidDel="00000000" w:rsidR="00000000" w:rsidRPr="00000000">
              <w:rPr>
                <w:color w:val="1f1f1f"/>
                <w:rtl w:val="0"/>
              </w:rPr>
              <w:t xml:space="preserve">Scoprire la Bibbia come documento di fede; conoscere episodi e vicende del popolo di Israele (A.T.).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2.717285156249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IV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75.9999942779541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Ricostruire le tappe della vita di Gesù nel contesto storico-politico.</w:t>
            </w:r>
          </w:p>
          <w:p w:rsidR="00000000" w:rsidDel="00000000" w:rsidP="00000000" w:rsidRDefault="00000000" w:rsidRPr="00000000" w14:paraId="000000BA">
            <w:pPr>
              <w:widowControl w:val="0"/>
              <w:spacing w:line="275.9999942779541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spacing w:line="275.9999942779541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Identificare espressioni d'arte cristiana e figure di Santi come interpretazione della fede nei secoli. </w:t>
            </w:r>
          </w:p>
          <w:p w:rsidR="00000000" w:rsidDel="00000000" w:rsidP="00000000" w:rsidRDefault="00000000" w:rsidRPr="00000000" w14:paraId="000000BC">
            <w:pPr>
              <w:widowControl w:val="0"/>
              <w:spacing w:line="275.9999942779541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spacing w:line="275.9999942779541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Individuare le fonti storiche su Gesù descrivendo le tappe della formazione dei Vangeli e le informazioni relative a ciascun evangelista.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2.7172851562499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cccccc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0C1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C2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C</w:t>
            </w:r>
          </w:p>
          <w:p w:rsidR="00000000" w:rsidDel="00000000" w:rsidP="00000000" w:rsidRDefault="00000000" w:rsidRPr="00000000" w14:paraId="000000C3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0C4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C5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0C6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C7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C8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C9">
            <w:pPr>
              <w:spacing w:after="20" w:before="2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I </w:t>
            </w: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II</w:t>
            </w:r>
          </w:p>
          <w:p w:rsidR="00000000" w:rsidDel="00000000" w:rsidP="00000000" w:rsidRDefault="00000000" w:rsidRPr="00000000" w14:paraId="000000CB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75.9999942779541" w:lineRule="auto"/>
              <w:rPr/>
            </w:pPr>
            <w:r w:rsidDel="00000000" w:rsidR="00000000" w:rsidRPr="00000000">
              <w:rPr>
                <w:color w:val="1f1f1f"/>
                <w:rtl w:val="0"/>
              </w:rPr>
              <w:t xml:space="preserve">Utilizzare la Bibbia come documento storico-culturale; individuare testi biblici (N.T.) che hanno ispirato le principali produzioni artistiche italiane ed europee.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2.7172851562499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III</w:t>
            </w:r>
          </w:p>
          <w:p w:rsidR="00000000" w:rsidDel="00000000" w:rsidP="00000000" w:rsidRDefault="00000000" w:rsidRPr="00000000" w14:paraId="000000D1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75.9999942779541" w:lineRule="auto"/>
              <w:rPr/>
            </w:pPr>
            <w:r w:rsidDel="00000000" w:rsidR="00000000" w:rsidRPr="00000000">
              <w:rPr>
                <w:color w:val="1f1f1f"/>
                <w:rtl w:val="0"/>
              </w:rPr>
              <w:t xml:space="preserve">Utilizzare i documenti e i testi fondamentali della Chiesa (encicliche, lettere) per trovare risposte alle domande sociali e attuali.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